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36" w:rsidRPr="00895271" w:rsidRDefault="003F5F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Утверждены</w:t>
      </w:r>
    </w:p>
    <w:p w:rsidR="003F5F36" w:rsidRPr="00895271" w:rsidRDefault="003F5F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F5F36" w:rsidRPr="00895271" w:rsidRDefault="003F5F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Правительства Сахалинской области</w:t>
      </w:r>
    </w:p>
    <w:p w:rsidR="003F5F36" w:rsidRPr="00895271" w:rsidRDefault="003F5F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от 01.08.2016 N 380</w:t>
      </w:r>
    </w:p>
    <w:p w:rsidR="003F5F36" w:rsidRPr="00895271" w:rsidRDefault="003F5F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895271">
        <w:rPr>
          <w:rFonts w:ascii="Times New Roman" w:hAnsi="Times New Roman" w:cs="Times New Roman"/>
          <w:sz w:val="28"/>
          <w:szCs w:val="28"/>
        </w:rPr>
        <w:t>ПРАВИЛА</w:t>
      </w:r>
    </w:p>
    <w:p w:rsidR="003F5F36" w:rsidRPr="00895271" w:rsidRDefault="003F5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</w:t>
      </w:r>
    </w:p>
    <w:p w:rsidR="003F5F36" w:rsidRPr="00895271" w:rsidRDefault="003F5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</w:p>
    <w:p w:rsidR="003F5F36" w:rsidRPr="00895271" w:rsidRDefault="003F5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НА МЕРОПРИЯТИЯ ПО ОСУЩЕСТВЛЕНИЮ</w:t>
      </w:r>
    </w:p>
    <w:p w:rsidR="003F5F36" w:rsidRPr="00895271" w:rsidRDefault="003F5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3F5F36" w:rsidRPr="00895271" w:rsidRDefault="003F5F3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и условия предоставления иных межбюджетных трансфертов из областного бюджета местным бюджетам на мероприятия по осуществлению территориального общественного самоуправления (далее - иные межбюджетные трансферты).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2. Иные межбюджетные трансферты используются органами местного самоуправления на предоставление субсидий (грантов) территориальным общественным самоуправлениям на возмещение (финансовое обеспечение) затрат на мероприятия по благоустройству территорий.</w:t>
      </w:r>
    </w:p>
    <w:p w:rsidR="003F5F36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Под благоустройством территории понимается комплекс мероприятий по устройству спортивных и (или) детских площадок, остановочных павильонов, площадок для установки контейнеров для сборки твердых коммунальных отходов, ограждений (заборов), капитальному ремонту и ремонту придомовых территорий, освещению, размещению малых архитектурных форм, озеленению, обустройству, капитальному ремонту и ремонту лестниц на дворовых территориях многоквартирных домов, обустройству пешеходных дорожек.</w:t>
      </w:r>
    </w:p>
    <w:p w:rsidR="00895271" w:rsidRPr="00895271" w:rsidRDefault="00895271" w:rsidP="008952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3.Критериями отбора муниципальных образований являются:</w:t>
      </w:r>
    </w:p>
    <w:p w:rsidR="00895271" w:rsidRPr="00895271" w:rsidRDefault="00895271" w:rsidP="008952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наличие на территории муниципального образования зарегистрированных в установленном порядке территориальных общественных самоуправлений;</w:t>
      </w:r>
    </w:p>
    <w:p w:rsidR="00895271" w:rsidRPr="00895271" w:rsidRDefault="00895271" w:rsidP="008952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 xml:space="preserve">- соответствие условиям, указанным в </w:t>
      </w:r>
      <w:hyperlink w:anchor="Par18" w:history="1">
        <w:r w:rsidRPr="00895271"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 w:rsidRPr="0089527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895271" w:rsidRPr="00895271" w:rsidRDefault="00895271" w:rsidP="008952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наличие решения территориального общественного самоуправления о реализации проекта по благоустройству.</w:t>
      </w:r>
    </w:p>
    <w:p w:rsidR="00895271" w:rsidRPr="00895271" w:rsidRDefault="00895271" w:rsidP="008952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 xml:space="preserve">4.  Иные межбюджетные трансферты предоставляются министерством жилищно-коммунального хозяйства Сахалинской области (далее - Министерство) в пределах средств, доведенных до </w:t>
      </w:r>
      <w:proofErr w:type="gramStart"/>
      <w:r w:rsidRPr="00895271">
        <w:rPr>
          <w:rFonts w:ascii="Times New Roman" w:hAnsi="Times New Roman" w:cs="Times New Roman"/>
          <w:sz w:val="28"/>
          <w:szCs w:val="28"/>
        </w:rPr>
        <w:t>Министерства  уведомлением</w:t>
      </w:r>
      <w:proofErr w:type="gramEnd"/>
      <w:r w:rsidRPr="00895271">
        <w:rPr>
          <w:rFonts w:ascii="Times New Roman" w:hAnsi="Times New Roman" w:cs="Times New Roman"/>
          <w:sz w:val="28"/>
          <w:szCs w:val="28"/>
        </w:rPr>
        <w:t xml:space="preserve"> о лимитах бюджетных обязательств на указанные цели на текущий год.</w:t>
      </w:r>
    </w:p>
    <w:p w:rsidR="00895271" w:rsidRPr="00895271" w:rsidRDefault="00895271" w:rsidP="008952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Распределение субсидии утверждается постановлением Правительства Сахалинской области.</w:t>
      </w:r>
    </w:p>
    <w:p w:rsidR="00895271" w:rsidRPr="00895271" w:rsidRDefault="008952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895271">
        <w:rPr>
          <w:rFonts w:ascii="Times New Roman" w:hAnsi="Times New Roman" w:cs="Times New Roman"/>
          <w:sz w:val="28"/>
          <w:szCs w:val="28"/>
        </w:rPr>
        <w:t>6. Иные межбюджетные трансферты предоставляются местным бюджетам при соблюдении следующих условий: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наличия правового акта органа местного самоуправления, устанавливающего расходное обязательство муниципального образования, на исполнение которого предоставляются иные межбюджетные трансферты;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наличия утвержденной муниципальной программы, предусматривающей мероприятия по благоустройству территорий, на которых осуществляется территориальное общественное самоуправление;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наличия правового акта уполномоченного органа местного самоуправления о регистрации устава территориального общественного самоуправления;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наличия государственной регистрации территориального общественного самоуправления в качестве юридического лица.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7. Предоставление иных межбюджетных трансфертов осуществляется на основании соглашения, которое должно содержать: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размер, условия и сроки перечисления в местный бюджет иных межбюджетных трансфертов;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целевое назначение иных межбюджетных трансфертов;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форму и сроки представления администрацией муниципального образования заявки на перечисление иных межбюджетных трансфертов (далее - заявка) и перечень прилагаемых к ней документов;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форму и сроки представления администрацией муниципального образования отчета об осуществлении расходов, источником финансового обеспечения которых являются иные межбюджетные трансферты, а также обязательство администрации муниципального образования о его предоставлении;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сведения о правовом акте органа местного самоуправления, устанавливающем расходное обязательство муниципального образования, на исполнение которого предоставляются иные межбюджетные трансферты;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порядок осуществления контроля за исполнением условий соглашения;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порядок возврата иных межбюджетных трансфертов в случае установления по итогам проверок факта нарушения целей и условий предоставления иных межбюджетных трансфертов, определенных настоящими Правилами и соглашением;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lastRenderedPageBreak/>
        <w:t>- право Министерства проводить проверки соблюдения условий, установленных настоящими Правилами и соглашением;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право органов местного самоуправления дополнительно использовать собственные материальные ресурсы и финансовые средства для осуществления мероприятий, источником финансового обеспечения которых являются иные межбюджетные трансферты;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- ответственность сторон за нарушение условий соглашения.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8. Перечисление иных межбюджетных трансфертов осуществляется в соответствии с заявкой на счета, открытые для учета поступлений и их распределения между бюджетами бюджетной системы Российской Федерации и для последующего перечисления в установленном порядке в местные бюджеты.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9. Условие и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10. Не использованный на 1 января года, следующего за годом предоставления иных межбюджетных трансфертов, остаток иных межбюджетных трансфертов подлежит возврату в областной бюджет уполномоченным органом местного самоуправления.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областного бюджета, указанные средства подлежат взысканию в доход областного бюджета в порядке, установленном бюджетным законодательством Российской Федерации.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При наличии потребности в не использованном на 1 января года, следующего за годом предоставления иных межбюджетных трансфертов, остатке иных межбюджетных трансфертов, указанный остаток в соответствии с решением Министерства может быть использован муниципальным образованием в очередном финансовом году на те же цели в порядке, установленном бюджетным законодательством Российской Федерации для осуществления расходов местного бюджета, источником финансового обеспечения которых являются иные межбюджетные трансферты.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11. Ответственность за достоверность представляемых Министерству сведений, предусмотренных настоящими Правилами, возлагается на администрации муниципальных образований.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12. Контроль за целевым использованием иных межбюджетных трансфертов осуществляется Министерством и органами государственного финансового контроля.</w:t>
      </w:r>
    </w:p>
    <w:p w:rsidR="003F5F36" w:rsidRPr="00895271" w:rsidRDefault="003F5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lastRenderedPageBreak/>
        <w:t>13. Иные межбюджетные трансферты в случае их нецелевого использования подлежат взысканию в доход областного бюджета в порядке, установленном бюджетным законодательством Российской Федерации.</w:t>
      </w:r>
    </w:p>
    <w:p w:rsidR="003F5F36" w:rsidRPr="00895271" w:rsidRDefault="003F5F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5F36" w:rsidRPr="00895271" w:rsidRDefault="003F5F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F5F36" w:rsidRPr="00895271" w:rsidSect="001F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36"/>
    <w:rsid w:val="003F5F36"/>
    <w:rsid w:val="00895271"/>
    <w:rsid w:val="00A0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E53DF-523B-4FC0-9E8A-1CE74409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2020-11-30T22:24:00Z</cp:lastPrinted>
  <dcterms:created xsi:type="dcterms:W3CDTF">2020-11-30T22:30:00Z</dcterms:created>
  <dcterms:modified xsi:type="dcterms:W3CDTF">2020-11-30T22:30:00Z</dcterms:modified>
</cp:coreProperties>
</file>